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65892B" w14:textId="77777777" w:rsidR="0052379D" w:rsidRPr="00833A89" w:rsidRDefault="007E52F5">
      <w:pPr>
        <w:pStyle w:val="Heading"/>
        <w:ind w:left="-284"/>
        <w:rPr>
          <w:sz w:val="26"/>
          <w:szCs w:val="26"/>
        </w:rPr>
      </w:pPr>
      <w:r w:rsidRPr="00833A89">
        <w:rPr>
          <w:sz w:val="26"/>
          <w:szCs w:val="26"/>
        </w:rPr>
        <w:t>Р Е Ц Е Н З И Я</w:t>
      </w:r>
    </w:p>
    <w:p w14:paraId="664BED2B" w14:textId="77777777" w:rsidR="0052379D" w:rsidRPr="00833A89" w:rsidRDefault="007E52F5">
      <w:pPr>
        <w:ind w:left="-284"/>
        <w:jc w:val="center"/>
        <w:rPr>
          <w:b/>
          <w:sz w:val="26"/>
          <w:szCs w:val="26"/>
        </w:rPr>
      </w:pPr>
      <w:r w:rsidRPr="00833A89">
        <w:rPr>
          <w:b/>
          <w:sz w:val="26"/>
          <w:szCs w:val="26"/>
        </w:rPr>
        <w:t xml:space="preserve">на статью в журнал </w:t>
      </w:r>
      <w:r w:rsidRPr="00833A89">
        <w:rPr>
          <w:b/>
          <w:sz w:val="26"/>
          <w:szCs w:val="26"/>
        </w:rPr>
        <w:br/>
        <w:t>«ЭКОНОМИКА НАУКИ»</w:t>
      </w:r>
    </w:p>
    <w:p w14:paraId="09D66D75" w14:textId="4EA39C18" w:rsidR="0052379D" w:rsidRDefault="007E52F5">
      <w:pPr>
        <w:pStyle w:val="afe"/>
        <w:ind w:left="-426"/>
      </w:pPr>
      <w:r w:rsidRPr="00833A89">
        <w:rPr>
          <w:color w:val="000000"/>
          <w:sz w:val="27"/>
          <w:szCs w:val="27"/>
        </w:rPr>
        <w:t>Название статьи</w:t>
      </w:r>
      <w:r w:rsidR="008D13AE">
        <w:rPr>
          <w:color w:val="000000"/>
          <w:sz w:val="27"/>
          <w:szCs w:val="27"/>
        </w:rPr>
        <w:t xml:space="preserve">: </w:t>
      </w:r>
      <w:r w:rsidR="008D13AE" w:rsidRPr="0044302C">
        <w:t>Научные организации в системе государственного управления: оценка эффективности с позиции времени на получение новых знаний и структуры персонала</w:t>
      </w:r>
    </w:p>
    <w:p w14:paraId="06F047FB" w14:textId="77777777" w:rsidR="00DD5FE2" w:rsidRDefault="009D1B1E">
      <w:pPr>
        <w:pStyle w:val="afe"/>
        <w:ind w:left="-426"/>
        <w:rPr>
          <w:color w:val="002060"/>
        </w:rPr>
      </w:pPr>
      <w:r w:rsidRPr="00DD5FE2">
        <w:rPr>
          <w:color w:val="002060"/>
        </w:rPr>
        <w:t xml:space="preserve">Хотел бы поблагодарить уважаемого рецензента за </w:t>
      </w:r>
      <w:r w:rsidR="00DD5FE2">
        <w:rPr>
          <w:color w:val="002060"/>
        </w:rPr>
        <w:t>внимательное и, как мне показалось, доброжелательное отношение к</w:t>
      </w:r>
      <w:r w:rsidRPr="00DD5FE2">
        <w:rPr>
          <w:color w:val="002060"/>
        </w:rPr>
        <w:t xml:space="preserve"> стать</w:t>
      </w:r>
      <w:r w:rsidR="00DD5FE2">
        <w:rPr>
          <w:color w:val="002060"/>
        </w:rPr>
        <w:t>е</w:t>
      </w:r>
      <w:r w:rsidRPr="00DD5FE2">
        <w:rPr>
          <w:color w:val="002060"/>
        </w:rPr>
        <w:t xml:space="preserve">. </w:t>
      </w:r>
    </w:p>
    <w:p w14:paraId="50FF4820" w14:textId="1DEAD92E" w:rsidR="009D1B1E" w:rsidRPr="00DD5FE2" w:rsidRDefault="00DD5FE2">
      <w:pPr>
        <w:pStyle w:val="afe"/>
        <w:ind w:left="-426"/>
        <w:rPr>
          <w:color w:val="002060"/>
          <w:sz w:val="27"/>
          <w:szCs w:val="27"/>
        </w:rPr>
      </w:pPr>
      <w:r>
        <w:rPr>
          <w:color w:val="002060"/>
        </w:rPr>
        <w:t xml:space="preserve">Все поправки, сделанные в статье, </w:t>
      </w:r>
      <w:r w:rsidR="009D1B1E" w:rsidRPr="00DD5FE2">
        <w:rPr>
          <w:color w:val="002060"/>
        </w:rPr>
        <w:t>выделены цветом.</w:t>
      </w:r>
    </w:p>
    <w:tbl>
      <w:tblPr>
        <w:tblStyle w:val="ad"/>
        <w:tblW w:w="0" w:type="auto"/>
        <w:tblInd w:w="-431" w:type="dxa"/>
        <w:tblLook w:val="04A0" w:firstRow="1" w:lastRow="0" w:firstColumn="1" w:lastColumn="0" w:noHBand="0" w:noVBand="1"/>
      </w:tblPr>
      <w:tblGrid>
        <w:gridCol w:w="6238"/>
        <w:gridCol w:w="3820"/>
      </w:tblGrid>
      <w:tr w:rsidR="00831332" w:rsidRPr="0075628C" w14:paraId="4FEB1E27" w14:textId="77777777" w:rsidTr="00492E6B">
        <w:tc>
          <w:tcPr>
            <w:tcW w:w="6238" w:type="dxa"/>
          </w:tcPr>
          <w:p w14:paraId="58065F65" w14:textId="336A4820" w:rsidR="00831332" w:rsidRPr="0075628C" w:rsidRDefault="00831332" w:rsidP="0083133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Замечание</w:t>
            </w:r>
          </w:p>
        </w:tc>
        <w:tc>
          <w:tcPr>
            <w:tcW w:w="3820" w:type="dxa"/>
          </w:tcPr>
          <w:p w14:paraId="07868D65" w14:textId="0752199F" w:rsidR="00831332" w:rsidRPr="00E652C6" w:rsidRDefault="00831332" w:rsidP="00831332">
            <w:pPr>
              <w:spacing w:line="276" w:lineRule="auto"/>
              <w:jc w:val="center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Пояснение</w:t>
            </w:r>
          </w:p>
        </w:tc>
      </w:tr>
      <w:tr w:rsidR="00831332" w:rsidRPr="0075628C" w14:paraId="21ADC7FF" w14:textId="77777777" w:rsidTr="00492E6B">
        <w:tc>
          <w:tcPr>
            <w:tcW w:w="6238" w:type="dxa"/>
          </w:tcPr>
          <w:p w14:paraId="7723197D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1. Рисунок 1 выполнен в бутафорском оформлении и не соответствует представлению знаний для научного журнала 1-</w:t>
            </w:r>
            <w:proofErr w:type="gramStart"/>
            <w:r w:rsidRPr="0075628C">
              <w:rPr>
                <w:sz w:val="24"/>
                <w:szCs w:val="24"/>
              </w:rPr>
              <w:t>о квартиля</w:t>
            </w:r>
            <w:proofErr w:type="gramEnd"/>
            <w:r w:rsidRPr="0075628C">
              <w:rPr>
                <w:sz w:val="24"/>
                <w:szCs w:val="24"/>
              </w:rPr>
              <w:t xml:space="preserve"> Российской Федера</w:t>
            </w:r>
            <w:bookmarkStart w:id="0" w:name="_GoBack"/>
            <w:bookmarkEnd w:id="0"/>
            <w:r w:rsidRPr="0075628C">
              <w:rPr>
                <w:sz w:val="24"/>
                <w:szCs w:val="24"/>
              </w:rPr>
              <w:t>ции.</w:t>
            </w:r>
          </w:p>
          <w:p w14:paraId="1895BF9B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На Рисунке 1 ("Внутренние и внешние субъекты") представлены: Государство, Общество, Производители, Образование.</w:t>
            </w:r>
          </w:p>
          <w:p w14:paraId="09F09C6E" w14:textId="67BCB168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 xml:space="preserve">. Хорошая схема, но в ней не хватает одного важного звена – "Другие научные организации / Международное научное сообщество". Современная наука невозможна без обмена знаниями, конференций, совместных проектов. Это тоже мощный источник «входящих ресурсов» (идей, </w:t>
            </w:r>
            <w:proofErr w:type="spellStart"/>
            <w:r w:rsidRPr="0075628C">
              <w:rPr>
                <w:sz w:val="24"/>
                <w:szCs w:val="24"/>
              </w:rPr>
              <w:t>валидации</w:t>
            </w:r>
            <w:proofErr w:type="spellEnd"/>
            <w:r w:rsidRPr="0075628C">
              <w:rPr>
                <w:sz w:val="24"/>
                <w:szCs w:val="24"/>
              </w:rPr>
              <w:t>).</w:t>
            </w:r>
          </w:p>
        </w:tc>
        <w:tc>
          <w:tcPr>
            <w:tcW w:w="3820" w:type="dxa"/>
          </w:tcPr>
          <w:p w14:paraId="6EADEEC4" w14:textId="6CD775D6" w:rsidR="00831332" w:rsidRPr="00E652C6" w:rsidRDefault="00492E6B" w:rsidP="00DD5FE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Согласен с замечанием. Рисунок </w:t>
            </w:r>
            <w:r w:rsidR="00DD5FE2" w:rsidRPr="00E652C6">
              <w:rPr>
                <w:color w:val="002060"/>
                <w:sz w:val="24"/>
                <w:szCs w:val="24"/>
              </w:rPr>
              <w:t>полностью переделан</w:t>
            </w:r>
            <w:r w:rsidRPr="00E652C6">
              <w:rPr>
                <w:color w:val="002060"/>
                <w:sz w:val="24"/>
                <w:szCs w:val="24"/>
              </w:rPr>
              <w:t xml:space="preserve">. </w:t>
            </w:r>
          </w:p>
        </w:tc>
      </w:tr>
      <w:tr w:rsidR="00831332" w:rsidRPr="0075628C" w14:paraId="43A79256" w14:textId="77777777" w:rsidTr="00492E6B">
        <w:tc>
          <w:tcPr>
            <w:tcW w:w="6238" w:type="dxa"/>
          </w:tcPr>
          <w:p w14:paraId="2258C1AE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2. В введение имеется спорность тезиса о «достигнутом пределе человеческих способностей». В самом конце введения автор делает сильное заявление: «достигнутый предел человеческой способности к обработке информации: ни один ученый не в состоянии... даже ознакомиться с их заголовками».</w:t>
            </w:r>
          </w:p>
          <w:p w14:paraId="420AFCB7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Это очень спорный тезис. Да, информации много, но существуют системы семантического поиска, базы данных, реферативные журналы и, уже сегодня, инструменты ИИ (большие языковые модели), которые успешно решают задачу первичного отбора и реферирования.</w:t>
            </w:r>
          </w:p>
          <w:p w14:paraId="22DE3F9B" w14:textId="791CE00A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>. Стоит смягчить формулировку. Говорить не о «биологическом пределе», а о том, что традиционные методы навигации в науке (чтение всех статей подряд) стали неэффективны. Иначе вы даете оппонентам повод упрекнуть вас в игнорировании современных технологий. Лучше: "...традиционные методы обработки информации достигли своего предела эффективности: физическая невозможность ознакомиться даже с заголовками всех новых статей по профилю требует новых институциональных решений".</w:t>
            </w:r>
          </w:p>
        </w:tc>
        <w:tc>
          <w:tcPr>
            <w:tcW w:w="3820" w:type="dxa"/>
          </w:tcPr>
          <w:p w14:paraId="433AD91A" w14:textId="352E5C9C" w:rsidR="00831332" w:rsidRPr="00E652C6" w:rsidRDefault="009D1B1E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Согласен с замечанием. Внес поправки.</w:t>
            </w:r>
          </w:p>
        </w:tc>
      </w:tr>
      <w:tr w:rsidR="00831332" w:rsidRPr="0075628C" w14:paraId="62B703C1" w14:textId="77777777" w:rsidTr="00492E6B">
        <w:tc>
          <w:tcPr>
            <w:tcW w:w="6238" w:type="dxa"/>
          </w:tcPr>
          <w:p w14:paraId="4EB66DD4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lastRenderedPageBreak/>
              <w:t xml:space="preserve">3. В ведении автор смешивает макро- и </w:t>
            </w:r>
            <w:proofErr w:type="gramStart"/>
            <w:r w:rsidRPr="0075628C">
              <w:rPr>
                <w:sz w:val="24"/>
                <w:szCs w:val="24"/>
              </w:rPr>
              <w:t>микро- уровни</w:t>
            </w:r>
            <w:proofErr w:type="gramEnd"/>
            <w:r w:rsidRPr="0075628C">
              <w:rPr>
                <w:sz w:val="24"/>
                <w:szCs w:val="24"/>
              </w:rPr>
              <w:t xml:space="preserve"> в критике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. Автор критикует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 (ключевые показатели эффективности) за то, что они приравнивают НИИ к коммерческому предприятию, и упоминаете «длительный временной разрыв».</w:t>
            </w:r>
          </w:p>
          <w:p w14:paraId="47A02CD7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 xml:space="preserve">: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 – это инструмент управления. Проблема не в самом наличии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, а в том, что именно измеряют. Можно разработать идеальные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 и для научной организации, не требующие сиюминутной прибыли (например, количество созданных новых методик, индекс цитирования в патентах и т.д.).</w:t>
            </w:r>
          </w:p>
          <w:p w14:paraId="0EA5C98F" w14:textId="50A05D12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 xml:space="preserve">. Стоит четче разделить: проблема не в «цифрах управления», а в выборе неверных метрик. Аргумент автора о временном разрыве – это критика не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 как явления, а конкретных коммерческих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. Сейчас в тексте это выглядит как критика всего подхода </w:t>
            </w:r>
            <w:proofErr w:type="spellStart"/>
            <w:r w:rsidRPr="0075628C">
              <w:rPr>
                <w:sz w:val="24"/>
                <w:szCs w:val="24"/>
              </w:rPr>
              <w:t>KPI</w:t>
            </w:r>
            <w:proofErr w:type="spellEnd"/>
            <w:r w:rsidRPr="0075628C">
              <w:rPr>
                <w:sz w:val="24"/>
                <w:szCs w:val="24"/>
              </w:rPr>
              <w:t xml:space="preserve"> целиком, что может вызвать возражения у специалистов по менеджменту.</w:t>
            </w:r>
          </w:p>
        </w:tc>
        <w:tc>
          <w:tcPr>
            <w:tcW w:w="3820" w:type="dxa"/>
          </w:tcPr>
          <w:p w14:paraId="09321E09" w14:textId="0BEE70D0" w:rsidR="00831332" w:rsidRPr="00E652C6" w:rsidRDefault="009D1B1E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Согласен с замечанием. Внес поправки.</w:t>
            </w:r>
          </w:p>
        </w:tc>
      </w:tr>
      <w:tr w:rsidR="00831332" w:rsidRPr="0075628C" w14:paraId="225A903F" w14:textId="77777777" w:rsidTr="00492E6B">
        <w:tc>
          <w:tcPr>
            <w:tcW w:w="6238" w:type="dxa"/>
          </w:tcPr>
          <w:p w14:paraId="21FD7FD2" w14:textId="06074F92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 xml:space="preserve">4. Введение в статье было бы еще убедительнее, если бы в нем был один дополнительный элемент – краткое упоминание </w:t>
            </w:r>
            <w:r w:rsidRPr="0075628C">
              <w:rPr>
                <w:b/>
                <w:sz w:val="24"/>
                <w:szCs w:val="24"/>
              </w:rPr>
              <w:t>цели/гипотезы статьи.</w:t>
            </w:r>
            <w:r w:rsidRPr="0075628C">
              <w:rPr>
                <w:sz w:val="24"/>
                <w:szCs w:val="24"/>
              </w:rPr>
              <w:t xml:space="preserve"> Автор блестяще показал, что старые методы плохи. Автор описал проблему. Но сам переход к модели («пять функциональных уровней») остался за кадром. Обычно в конце введения принято писать: «Целью данной статьи является разработка теоретической модели...» (как у автора в аннотации). Перенесите эту фразу из аннотации в конец введения – это будет логичным завершением.</w:t>
            </w:r>
          </w:p>
        </w:tc>
        <w:tc>
          <w:tcPr>
            <w:tcW w:w="3820" w:type="dxa"/>
          </w:tcPr>
          <w:p w14:paraId="151D5BE1" w14:textId="64BCB439" w:rsidR="00831332" w:rsidRPr="00E652C6" w:rsidRDefault="00100703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Принято. Добавил. </w:t>
            </w:r>
          </w:p>
        </w:tc>
      </w:tr>
      <w:tr w:rsidR="00831332" w:rsidRPr="0075628C" w14:paraId="0F04148E" w14:textId="77777777" w:rsidTr="00492E6B">
        <w:tc>
          <w:tcPr>
            <w:tcW w:w="6238" w:type="dxa"/>
          </w:tcPr>
          <w:p w14:paraId="7F35ED22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5. Автор дает определение: «новые знания... понимаются неизвестные ранее сведения о причинно-следственных связях... позволяющие делать достоверные прогнозы».</w:t>
            </w:r>
          </w:p>
          <w:p w14:paraId="52D7292A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Это сильное, но уязвимое определение. Оно хорошо для естественных и технических наук (физика, химия), где причинность устанавливаема. Но как быть с гуманитарными науками (история, философия)? История не прогнозирует, а реконструирует прошлое. Подпадает ли философское открытие под категорию «причинно-следственной связи»?</w:t>
            </w:r>
          </w:p>
          <w:p w14:paraId="5349C4D6" w14:textId="77777777" w:rsidR="00831332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Рекомендация.</w:t>
            </w:r>
            <w:r w:rsidRPr="0075628C">
              <w:rPr>
                <w:sz w:val="24"/>
                <w:szCs w:val="24"/>
              </w:rPr>
              <w:t xml:space="preserve"> Стоит либо сделать оговорку, что статья фокусируется на естественно-научном и техническом знании (что косвенно подтверждается примером про металлы и лед), либо расширить определение, включив туда «описание, интерпретацию и понимание» наряду с прогнозированием.</w:t>
            </w:r>
          </w:p>
          <w:p w14:paraId="3EF20667" w14:textId="77777777" w:rsidR="007C1EDD" w:rsidRDefault="007C1EDD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5631FD2" w14:textId="50113383" w:rsidR="007C1EDD" w:rsidRPr="0075628C" w:rsidRDefault="007C1EDD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0" w:type="dxa"/>
          </w:tcPr>
          <w:p w14:paraId="6F92EB76" w14:textId="77777777" w:rsidR="00831332" w:rsidRPr="00E652C6" w:rsidRDefault="00E01871" w:rsidP="00E01871">
            <w:pPr>
              <w:spacing w:line="276" w:lineRule="auto"/>
              <w:ind w:firstLine="314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Возможно я ошибаюсь, но ведь диалектический закон о переходе количества в качество также описывает причинно-следственные связи и позволяет делать прогнозы (хотя и не конкретизированные по времени)? </w:t>
            </w:r>
          </w:p>
          <w:p w14:paraId="76C8C395" w14:textId="2C02EEB7" w:rsidR="00E01871" w:rsidRPr="00E652C6" w:rsidRDefault="00E01871" w:rsidP="00DD5FE2">
            <w:pPr>
              <w:spacing w:line="276" w:lineRule="auto"/>
              <w:ind w:firstLine="314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Замечание учел и </w:t>
            </w:r>
            <w:r w:rsidR="00DD5FE2" w:rsidRPr="00E652C6">
              <w:rPr>
                <w:color w:val="002060"/>
                <w:sz w:val="24"/>
                <w:szCs w:val="24"/>
              </w:rPr>
              <w:t>дополнил</w:t>
            </w:r>
            <w:r w:rsidRPr="00E652C6">
              <w:rPr>
                <w:color w:val="002060"/>
                <w:sz w:val="24"/>
                <w:szCs w:val="24"/>
              </w:rPr>
              <w:t xml:space="preserve"> определение. </w:t>
            </w:r>
          </w:p>
        </w:tc>
      </w:tr>
      <w:tr w:rsidR="00831332" w:rsidRPr="0075628C" w14:paraId="4AB26B6B" w14:textId="77777777" w:rsidTr="00492E6B">
        <w:tc>
          <w:tcPr>
            <w:tcW w:w="6238" w:type="dxa"/>
          </w:tcPr>
          <w:p w14:paraId="4D87E552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lastRenderedPageBreak/>
              <w:t>6. Риск упрощения в триаде видов деятельности (неопределенный/определенный поиск + испытания). Классификация на три вида деятельности выглядит стройно, но вызывает вопрос о границах.</w:t>
            </w:r>
          </w:p>
          <w:p w14:paraId="4A65B24A" w14:textId="63608E6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Не совсем ясен критерий перехода активности из разряда «неопределенно-поисковой» в «определенно-поисковую». В тексте сказано: «По мере изучения... поисковая деятельность может переходить в разряд испытательной». Получается, что стадия 2 (определенный поиск) выпадает из этой эволюции? Логичнее было бы: Фундаментальные (неопределенные) -&gt; Прикладные (определенные) -&gt; Испытания (рутинные). Сейчас создается впечатление, что определенный поиск — это не этап, а некая параллельная активность.</w:t>
            </w:r>
          </w:p>
        </w:tc>
        <w:tc>
          <w:tcPr>
            <w:tcW w:w="3820" w:type="dxa"/>
          </w:tcPr>
          <w:p w14:paraId="3A758D17" w14:textId="3D6300DA" w:rsidR="00831332" w:rsidRPr="00E652C6" w:rsidRDefault="000F3D0D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Согласен. Переформулировал предложение. </w:t>
            </w:r>
          </w:p>
        </w:tc>
      </w:tr>
      <w:tr w:rsidR="00831332" w:rsidRPr="0075628C" w14:paraId="2559477F" w14:textId="77777777" w:rsidTr="00492E6B">
        <w:tc>
          <w:tcPr>
            <w:tcW w:w="6238" w:type="dxa"/>
          </w:tcPr>
          <w:p w14:paraId="0F62E6AD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7. Спорный тезис о роли государства. Цитата: «...запрос на специальную и непрерывную... деятельность по получению нового знания... может быть сформирован только крупным, централизованным и ресурсным государством».</w:t>
            </w:r>
          </w:p>
          <w:p w14:paraId="60384626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Это очень сильный тезис, который уязвим для исторической критики. Существовали научные сообщества и в Древней Греции (полисы – не крупные империи), и в средневековых университетах Европы (которые часто существовали при церкви или городских общинах, а не только при крупных государствах). Кроме того, современные корпорации (</w:t>
            </w:r>
            <w:proofErr w:type="spellStart"/>
            <w:r w:rsidRPr="0075628C">
              <w:rPr>
                <w:sz w:val="24"/>
                <w:szCs w:val="24"/>
              </w:rPr>
              <w:t>R&amp;D</w:t>
            </w:r>
            <w:proofErr w:type="spellEnd"/>
            <w:r w:rsidRPr="0075628C">
              <w:rPr>
                <w:sz w:val="24"/>
                <w:szCs w:val="24"/>
              </w:rPr>
              <w:t xml:space="preserve"> центры) также ведут непрерывные исследования.</w:t>
            </w:r>
          </w:p>
          <w:p w14:paraId="69E80EB2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 xml:space="preserve">. Стоит смягчить формулировку, добавив контекст современности или масштаба. </w:t>
            </w:r>
            <w:proofErr w:type="gramStart"/>
            <w:r w:rsidRPr="0075628C">
              <w:rPr>
                <w:sz w:val="24"/>
                <w:szCs w:val="24"/>
              </w:rPr>
              <w:t>Например</w:t>
            </w:r>
            <w:proofErr w:type="gramEnd"/>
            <w:r w:rsidRPr="0075628C">
              <w:rPr>
                <w:sz w:val="24"/>
                <w:szCs w:val="24"/>
              </w:rPr>
              <w:t xml:space="preserve">: "Однако именно крупное централизованное государство Нового и Новейшего времени смогло </w:t>
            </w:r>
            <w:proofErr w:type="spellStart"/>
            <w:r w:rsidRPr="0075628C">
              <w:rPr>
                <w:sz w:val="24"/>
                <w:szCs w:val="24"/>
              </w:rPr>
              <w:t>институционализировать</w:t>
            </w:r>
            <w:proofErr w:type="spellEnd"/>
            <w:r w:rsidRPr="0075628C">
              <w:rPr>
                <w:sz w:val="24"/>
                <w:szCs w:val="24"/>
              </w:rPr>
              <w:t xml:space="preserve"> науку как особую отрасль, обеспечив ей постоянное, а не проектное финансирование".</w:t>
            </w:r>
          </w:p>
          <w:p w14:paraId="6050644C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0" w:type="dxa"/>
          </w:tcPr>
          <w:p w14:paraId="21292A32" w14:textId="3C43A595" w:rsidR="00A40169" w:rsidRPr="00E652C6" w:rsidRDefault="001E30EA" w:rsidP="00A40169">
            <w:pPr>
              <w:spacing w:line="276" w:lineRule="auto"/>
              <w:ind w:firstLine="314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Да, </w:t>
            </w:r>
            <w:r w:rsidR="0040664E" w:rsidRPr="00E652C6">
              <w:rPr>
                <w:color w:val="002060"/>
                <w:sz w:val="24"/>
                <w:szCs w:val="24"/>
              </w:rPr>
              <w:t>в этом</w:t>
            </w:r>
            <w:r w:rsidRPr="00E652C6">
              <w:rPr>
                <w:color w:val="002060"/>
                <w:sz w:val="24"/>
                <w:szCs w:val="24"/>
              </w:rPr>
              <w:t xml:space="preserve"> </w:t>
            </w:r>
            <w:r w:rsidR="0040664E" w:rsidRPr="00E652C6">
              <w:rPr>
                <w:color w:val="002060"/>
                <w:sz w:val="24"/>
                <w:szCs w:val="24"/>
              </w:rPr>
              <w:t>видимо</w:t>
            </w:r>
            <w:r w:rsidRPr="00E652C6">
              <w:rPr>
                <w:color w:val="002060"/>
                <w:sz w:val="24"/>
                <w:szCs w:val="24"/>
              </w:rPr>
              <w:t xml:space="preserve"> </w:t>
            </w:r>
            <w:r w:rsidR="0040664E" w:rsidRPr="00E652C6">
              <w:rPr>
                <w:color w:val="002060"/>
                <w:sz w:val="24"/>
                <w:szCs w:val="24"/>
              </w:rPr>
              <w:t>есть</w:t>
            </w:r>
            <w:r w:rsidRPr="00E652C6">
              <w:rPr>
                <w:color w:val="002060"/>
                <w:sz w:val="24"/>
                <w:szCs w:val="24"/>
              </w:rPr>
              <w:t xml:space="preserve"> логика.</w:t>
            </w:r>
            <w:r w:rsidR="00A40169" w:rsidRPr="00E652C6">
              <w:rPr>
                <w:color w:val="002060"/>
                <w:sz w:val="24"/>
                <w:szCs w:val="24"/>
              </w:rPr>
              <w:t xml:space="preserve"> </w:t>
            </w:r>
            <w:r w:rsidR="0040664E" w:rsidRPr="00E652C6">
              <w:rPr>
                <w:color w:val="002060"/>
                <w:sz w:val="24"/>
                <w:szCs w:val="24"/>
              </w:rPr>
              <w:t>Я</w:t>
            </w:r>
            <w:r w:rsidR="00A40169" w:rsidRPr="00E652C6">
              <w:rPr>
                <w:color w:val="002060"/>
                <w:sz w:val="24"/>
                <w:szCs w:val="24"/>
              </w:rPr>
              <w:t xml:space="preserve"> </w:t>
            </w:r>
            <w:r w:rsidR="0040664E" w:rsidRPr="00E652C6">
              <w:rPr>
                <w:color w:val="002060"/>
                <w:sz w:val="24"/>
                <w:szCs w:val="24"/>
              </w:rPr>
              <w:t xml:space="preserve">этой фразой </w:t>
            </w:r>
            <w:r w:rsidR="00A40169" w:rsidRPr="00E652C6">
              <w:rPr>
                <w:color w:val="002060"/>
                <w:sz w:val="24"/>
                <w:szCs w:val="24"/>
              </w:rPr>
              <w:t xml:space="preserve">хотел сказать, что научный институт может существовать хотя бы 3-4 столетия лишь при поддержке государства. </w:t>
            </w:r>
            <w:r w:rsidR="0040664E" w:rsidRPr="00E652C6">
              <w:rPr>
                <w:color w:val="002060"/>
                <w:sz w:val="24"/>
                <w:szCs w:val="24"/>
              </w:rPr>
              <w:t>Церкви и городские общины встроены в государство и находятся как минимум под его защитой, не так ли?</w:t>
            </w:r>
          </w:p>
          <w:p w14:paraId="5C259DFC" w14:textId="39C5871E" w:rsidR="00831332" w:rsidRPr="00E652C6" w:rsidRDefault="001E30EA" w:rsidP="00A40169">
            <w:pPr>
              <w:spacing w:line="276" w:lineRule="auto"/>
              <w:ind w:firstLine="314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 Полисы действительно не являются крупными империями, но все-таки это крупные по тем временам города-государства…</w:t>
            </w:r>
          </w:p>
          <w:p w14:paraId="69DD49A9" w14:textId="7EBA0086" w:rsidR="00D55092" w:rsidRPr="00E652C6" w:rsidRDefault="00D55092" w:rsidP="00A40169">
            <w:pPr>
              <w:spacing w:line="276" w:lineRule="auto"/>
              <w:ind w:firstLine="314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Внес поправку в текст.</w:t>
            </w:r>
          </w:p>
          <w:p w14:paraId="0724AEF9" w14:textId="3CC13BF3" w:rsidR="001E30EA" w:rsidRPr="00E652C6" w:rsidRDefault="001E30EA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</w:p>
        </w:tc>
      </w:tr>
      <w:tr w:rsidR="00831332" w:rsidRPr="0075628C" w14:paraId="7EB6B04F" w14:textId="77777777" w:rsidTr="00492E6B">
        <w:tc>
          <w:tcPr>
            <w:tcW w:w="6238" w:type="dxa"/>
          </w:tcPr>
          <w:p w14:paraId="19C2E648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 xml:space="preserve">8. Циклы и объект исследования (Гренландская акула </w:t>
            </w:r>
            <w:proofErr w:type="spellStart"/>
            <w:r w:rsidRPr="0075628C">
              <w:rPr>
                <w:sz w:val="24"/>
                <w:szCs w:val="24"/>
              </w:rPr>
              <w:t>vs</w:t>
            </w:r>
            <w:proofErr w:type="spellEnd"/>
            <w:r w:rsidRPr="0075628C">
              <w:rPr>
                <w:sz w:val="24"/>
                <w:szCs w:val="24"/>
              </w:rPr>
              <w:t xml:space="preserve"> Дрозофила). Пример про акулу и дрозофилу очень наглядный.</w:t>
            </w:r>
          </w:p>
          <w:p w14:paraId="02975E6A" w14:textId="77777777" w:rsidR="00831332" w:rsidRPr="0075628C" w:rsidRDefault="00831332" w:rsidP="00831332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Автор говорит, что длинный цикл объекта можно компенсировать параллельным изучением экземпляров. Но это работает не всегда. Например, в космологии (изучение звезд) мы не можем взять "другую звезду на другой стадии", чтобы понять эволюцию конкретной звезды – мы наблюдаем срез популяции. В исторической науке цикл объекта (Средневековье) уже завершен, и мы не можем его "параллельно запустить".</w:t>
            </w:r>
            <w:r w:rsidRPr="0075628C">
              <w:rPr>
                <w:b/>
                <w:sz w:val="24"/>
                <w:szCs w:val="24"/>
              </w:rPr>
              <w:t xml:space="preserve"> </w:t>
            </w:r>
          </w:p>
          <w:p w14:paraId="388A3BBB" w14:textId="1EA0DC56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lastRenderedPageBreak/>
              <w:t>Рекомендация</w:t>
            </w:r>
            <w:r w:rsidRPr="0075628C">
              <w:rPr>
                <w:sz w:val="24"/>
                <w:szCs w:val="24"/>
              </w:rPr>
              <w:t>. Стоит добавить фразу, что данный подход (компенсация параллельностью) применим для определенного класса объектов (биологических, технических), где возможна синхронная выборка.</w:t>
            </w:r>
          </w:p>
        </w:tc>
        <w:tc>
          <w:tcPr>
            <w:tcW w:w="3820" w:type="dxa"/>
          </w:tcPr>
          <w:p w14:paraId="2A223E24" w14:textId="2FEB344C" w:rsidR="00831332" w:rsidRPr="00E652C6" w:rsidRDefault="00755D41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lastRenderedPageBreak/>
              <w:t xml:space="preserve">Учёл замечание и сделал оговорку. </w:t>
            </w:r>
          </w:p>
        </w:tc>
      </w:tr>
      <w:tr w:rsidR="00831332" w:rsidRPr="0075628C" w14:paraId="1D64F7B4" w14:textId="77777777" w:rsidTr="00492E6B">
        <w:tc>
          <w:tcPr>
            <w:tcW w:w="6238" w:type="dxa"/>
          </w:tcPr>
          <w:p w14:paraId="75F38214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9. «Неучтенный» уровень в Таблице 1. В описании цепной реакции автор выделил 5 уровней: Административный, Экономический, Вспомогательный, Лабораторный и... Научно-технологический (Ученый совет и т.д.).</w:t>
            </w:r>
          </w:p>
          <w:p w14:paraId="700D3FDF" w14:textId="305B5286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В тексте выше, при описании цепочки, «Научно-технологический» уровень не фигурирует как отдельное звено, хотя в таблице он есть. Возникает разрыв между нарративом и классификацией. Читатель может спросить: а где в цепочке (1-5) происходит научное руководство? Видимо, на стыке пунктов 3 (руководители) и 5 (лаборатории).</w:t>
            </w:r>
          </w:p>
        </w:tc>
        <w:tc>
          <w:tcPr>
            <w:tcW w:w="3820" w:type="dxa"/>
          </w:tcPr>
          <w:p w14:paraId="47583137" w14:textId="3BEC2BCD" w:rsidR="00831332" w:rsidRPr="00E652C6" w:rsidRDefault="00A02FE2" w:rsidP="00A02FE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Добавил уточнение.</w:t>
            </w:r>
          </w:p>
        </w:tc>
      </w:tr>
      <w:tr w:rsidR="00831332" w:rsidRPr="0075628C" w14:paraId="7396CBA3" w14:textId="77777777" w:rsidTr="00492E6B">
        <w:tc>
          <w:tcPr>
            <w:tcW w:w="6238" w:type="dxa"/>
          </w:tcPr>
          <w:p w14:paraId="3062F042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10. Термин «Всезнание». Цитата: «...получению нового знания (точнее, всезнания – полного знания обо всем на свете)».</w:t>
            </w:r>
          </w:p>
          <w:p w14:paraId="6622079F" w14:textId="3DBDF261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Термин «всезнание» имеет сильный философско-теологический оттенок. В контексте научной организации он выглядит чужеродно и пафосно. Наука никогда не ставит целью «знать всё» (это агностицизм), она ставит целью «знать точно об изучаемом предмете».</w:t>
            </w:r>
          </w:p>
        </w:tc>
        <w:tc>
          <w:tcPr>
            <w:tcW w:w="3820" w:type="dxa"/>
          </w:tcPr>
          <w:p w14:paraId="428B4304" w14:textId="0C9018AC" w:rsidR="00831332" w:rsidRPr="00E652C6" w:rsidRDefault="00A02FE2" w:rsidP="00A02FE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Согласен. Удалил. </w:t>
            </w:r>
          </w:p>
        </w:tc>
      </w:tr>
      <w:tr w:rsidR="00831332" w:rsidRPr="0075628C" w14:paraId="28CD64B1" w14:textId="77777777" w:rsidTr="00492E6B">
        <w:tc>
          <w:tcPr>
            <w:tcW w:w="6238" w:type="dxa"/>
          </w:tcPr>
          <w:p w14:paraId="63A59930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 xml:space="preserve">11. Несоответствие заголовка и содержания. Раздел называется «Управление временем», но в тексте почти нет описания того, как именно организация управляет временем. Есть тезис о том, что результат науки — это «сбережение времени» для государства. Но механизмы управления (планирование, синхронизация циклов, </w:t>
            </w:r>
            <w:proofErr w:type="spellStart"/>
            <w:r w:rsidRPr="0075628C">
              <w:rPr>
                <w:sz w:val="24"/>
                <w:szCs w:val="24"/>
              </w:rPr>
              <w:t>форсайты</w:t>
            </w:r>
            <w:proofErr w:type="spellEnd"/>
            <w:r w:rsidRPr="0075628C">
              <w:rPr>
                <w:sz w:val="24"/>
                <w:szCs w:val="24"/>
              </w:rPr>
              <w:t>) не раскрыты.</w:t>
            </w:r>
          </w:p>
          <w:p w14:paraId="62F2A811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Замечание.</w:t>
            </w:r>
            <w:r w:rsidRPr="0075628C">
              <w:rPr>
                <w:sz w:val="24"/>
                <w:szCs w:val="24"/>
              </w:rPr>
              <w:t xml:space="preserve"> Заголовок обещает одно (процесс), а содержание говорит о другом (результат). Это может дезориентировать читателя.</w:t>
            </w:r>
          </w:p>
          <w:p w14:paraId="5593FF74" w14:textId="4122CB38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>. Либо переименовать раздел в «Знание как фактор экономии времени» или «Время как критерий эффективности науки», либо дополнить раздел описанием того, как администрация организации управляет временными циклами (см. ваш же Рисунок 2).</w:t>
            </w:r>
          </w:p>
        </w:tc>
        <w:tc>
          <w:tcPr>
            <w:tcW w:w="3820" w:type="dxa"/>
          </w:tcPr>
          <w:p w14:paraId="29BBE859" w14:textId="78D6D8D6" w:rsidR="00831332" w:rsidRPr="00E652C6" w:rsidRDefault="00CF23BE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Верно. Спасибо.</w:t>
            </w:r>
          </w:p>
        </w:tc>
      </w:tr>
      <w:tr w:rsidR="00831332" w:rsidRPr="0075628C" w14:paraId="510F6F3E" w14:textId="77777777" w:rsidTr="00492E6B">
        <w:tc>
          <w:tcPr>
            <w:tcW w:w="6238" w:type="dxa"/>
          </w:tcPr>
          <w:p w14:paraId="68D86963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12. Первые два абзаца (про жрецов, Богданова и ремесленников) интересны, но они затянуты.</w:t>
            </w:r>
          </w:p>
          <w:p w14:paraId="514FFC5E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Замечание.</w:t>
            </w:r>
            <w:r w:rsidRPr="0075628C">
              <w:rPr>
                <w:sz w:val="24"/>
                <w:szCs w:val="24"/>
              </w:rPr>
              <w:t xml:space="preserve"> Читатель уже ждет ответа на вопрос «как оценить эффективность», а ему снова предлагают экскурс в историю труда.</w:t>
            </w:r>
          </w:p>
          <w:p w14:paraId="0C9D380B" w14:textId="262CBEB0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Рекомендация.</w:t>
            </w:r>
            <w:r w:rsidRPr="0075628C">
              <w:rPr>
                <w:sz w:val="24"/>
                <w:szCs w:val="24"/>
              </w:rPr>
              <w:t xml:space="preserve"> Сократить историческую справку до 2-3 предложений, сделав акцент на главном тезисе: научная организация — это высшая форма разделения труда в </w:t>
            </w:r>
            <w:r w:rsidRPr="0075628C">
              <w:rPr>
                <w:sz w:val="24"/>
                <w:szCs w:val="24"/>
              </w:rPr>
              <w:lastRenderedPageBreak/>
              <w:t>сфере познания, позволяющая многократно ускорять получение результата.</w:t>
            </w:r>
          </w:p>
        </w:tc>
        <w:tc>
          <w:tcPr>
            <w:tcW w:w="3820" w:type="dxa"/>
          </w:tcPr>
          <w:p w14:paraId="067BA902" w14:textId="24B867DC" w:rsidR="00831332" w:rsidRPr="00E652C6" w:rsidRDefault="005A4F6F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lastRenderedPageBreak/>
              <w:t xml:space="preserve">Согласен. Сократил. </w:t>
            </w:r>
          </w:p>
        </w:tc>
      </w:tr>
      <w:tr w:rsidR="00831332" w:rsidRPr="0075628C" w14:paraId="1A055F3C" w14:textId="77777777" w:rsidTr="00492E6B">
        <w:tc>
          <w:tcPr>
            <w:tcW w:w="6238" w:type="dxa"/>
          </w:tcPr>
          <w:p w14:paraId="4A75225B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13. Рисунок 3 («Траектории приобретения знаний»). Рисунок очень абстрактный.</w:t>
            </w:r>
          </w:p>
          <w:p w14:paraId="0AB3E583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На графике «Время / Знания» показаны две кривые: «Путь проб и ошибок» (волнистая) и «Научный путь» (</w:t>
            </w:r>
            <w:proofErr w:type="spellStart"/>
            <w:r w:rsidRPr="0075628C">
              <w:rPr>
                <w:sz w:val="24"/>
                <w:szCs w:val="24"/>
              </w:rPr>
              <w:t>волнитстая</w:t>
            </w:r>
            <w:proofErr w:type="spellEnd"/>
            <w:r w:rsidRPr="0075628C">
              <w:rPr>
                <w:sz w:val="24"/>
                <w:szCs w:val="24"/>
              </w:rPr>
              <w:t>). Это красивая метафора, но она уязвима для критики: история науки знает, что «научный путь» тоже полон «петель» и заблуждений (смена парадигм по Куну). Получается идеализированная картина.</w:t>
            </w:r>
          </w:p>
          <w:p w14:paraId="32788E02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>:</w:t>
            </w:r>
          </w:p>
          <w:p w14:paraId="55ECBE23" w14:textId="77777777" w:rsidR="00831332" w:rsidRPr="0075628C" w:rsidRDefault="00831332" w:rsidP="00831332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Либо добавить на график и для научного пути небольшие флуктуации, подписав их как «смена научных школ» или «преодоление тупиковых гипотез».</w:t>
            </w:r>
          </w:p>
          <w:p w14:paraId="0B5881EB" w14:textId="6B74B396" w:rsidR="00831332" w:rsidRPr="0075628C" w:rsidRDefault="00831332" w:rsidP="00831332">
            <w:pPr>
              <w:pStyle w:val="a3"/>
              <w:numPr>
                <w:ilvl w:val="0"/>
                <w:numId w:val="4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 xml:space="preserve">Либо в подписи к рисунку сделать оговорку, что изображен идеальный (целевой) сценарий, к которому стремится организация, </w:t>
            </w:r>
            <w:proofErr w:type="spellStart"/>
            <w:r w:rsidRPr="0075628C">
              <w:rPr>
                <w:sz w:val="24"/>
                <w:szCs w:val="24"/>
              </w:rPr>
              <w:t>минимизируя</w:t>
            </w:r>
            <w:proofErr w:type="spellEnd"/>
            <w:r w:rsidRPr="0075628C">
              <w:rPr>
                <w:sz w:val="24"/>
                <w:szCs w:val="24"/>
              </w:rPr>
              <w:t xml:space="preserve"> «петли» благодаря системной организации труда.</w:t>
            </w:r>
          </w:p>
        </w:tc>
        <w:tc>
          <w:tcPr>
            <w:tcW w:w="3820" w:type="dxa"/>
          </w:tcPr>
          <w:p w14:paraId="5D7CDBB4" w14:textId="550DD6CE" w:rsidR="00831332" w:rsidRPr="00E652C6" w:rsidRDefault="00CD6DDA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Вы правы. Рисунок изменил. </w:t>
            </w:r>
          </w:p>
        </w:tc>
      </w:tr>
      <w:tr w:rsidR="00831332" w:rsidRPr="0075628C" w14:paraId="2965782C" w14:textId="77777777" w:rsidTr="00492E6B">
        <w:tc>
          <w:tcPr>
            <w:tcW w:w="6238" w:type="dxa"/>
          </w:tcPr>
          <w:p w14:paraId="3637A001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14. Пример с экспедицией Пржевальского. Пример очень удачный и иллюстративный.</w:t>
            </w:r>
          </w:p>
          <w:p w14:paraId="0F022753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Автор пишет, что сопроводительный уровень (10 из 13 чел.) велик из-за «беспрецедентной сложности маршрута». Но сложность маршрута – это характеристика задачи, а не эффективности организации. Если бы у Пржевальского был вертолет, сопровождающих было бы меньше. Получается, что высокая доля сопровождения – это показатель технологической отсталости (отсутствия средств транспорта), а не эффективной реакции на хаос.</w:t>
            </w:r>
          </w:p>
          <w:p w14:paraId="58CCDED2" w14:textId="7E8E3FE0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>. Провести четкую грань: доля сопроводительного уровня велика там, где внешняя среда (природа, бездорожье) требует физического присутствия людей, поскольку технические заменители отсутствуют или недостаточны. Снижение этой доли во времени (при сохранении задач) – и есть показатель прогресса.</w:t>
            </w:r>
          </w:p>
        </w:tc>
        <w:tc>
          <w:tcPr>
            <w:tcW w:w="3820" w:type="dxa"/>
          </w:tcPr>
          <w:p w14:paraId="468CFA27" w14:textId="1D9A37B3" w:rsidR="00831332" w:rsidRPr="00E652C6" w:rsidRDefault="00CD6DDA" w:rsidP="00C56E46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Не могу согласиться с данным замечанием. Даже пролет вертолета по </w:t>
            </w:r>
            <w:r w:rsidR="00C56E46" w:rsidRPr="00E652C6">
              <w:rPr>
                <w:color w:val="002060"/>
                <w:sz w:val="24"/>
                <w:szCs w:val="24"/>
              </w:rPr>
              <w:t xml:space="preserve">длительному </w:t>
            </w:r>
            <w:r w:rsidRPr="00E652C6">
              <w:rPr>
                <w:color w:val="002060"/>
                <w:sz w:val="24"/>
                <w:szCs w:val="24"/>
              </w:rPr>
              <w:t xml:space="preserve">неисследованному маршруту </w:t>
            </w:r>
            <w:r w:rsidR="00C56E46" w:rsidRPr="00E652C6">
              <w:rPr>
                <w:color w:val="002060"/>
                <w:sz w:val="24"/>
                <w:szCs w:val="24"/>
              </w:rPr>
              <w:t>(</w:t>
            </w:r>
            <w:r w:rsidR="00860CCD" w:rsidRPr="00E652C6">
              <w:rPr>
                <w:color w:val="002060"/>
                <w:sz w:val="24"/>
                <w:szCs w:val="24"/>
              </w:rPr>
              <w:t xml:space="preserve">без известных мест посадки, </w:t>
            </w:r>
            <w:r w:rsidR="00C56E46" w:rsidRPr="00E652C6">
              <w:rPr>
                <w:color w:val="002060"/>
                <w:sz w:val="24"/>
                <w:szCs w:val="24"/>
              </w:rPr>
              <w:t>без возможности дозаправки, ремонта и т.п.)</w:t>
            </w:r>
            <w:r w:rsidR="00860CCD" w:rsidRPr="00E652C6">
              <w:rPr>
                <w:color w:val="002060"/>
                <w:sz w:val="24"/>
                <w:szCs w:val="24"/>
              </w:rPr>
              <w:t xml:space="preserve"> потребует большего числа сопровождающих, готовых служб спасения и т.п.</w:t>
            </w:r>
          </w:p>
        </w:tc>
      </w:tr>
      <w:tr w:rsidR="00831332" w:rsidRPr="0075628C" w14:paraId="498757A3" w14:textId="77777777" w:rsidTr="00492E6B">
        <w:tc>
          <w:tcPr>
            <w:tcW w:w="6238" w:type="dxa"/>
          </w:tcPr>
          <w:p w14:paraId="0E9E49FD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15. Четвертый этап (Про место открытия). Цитата: «всегда существует ненулевая вероятность того, что открытия будут сделаны на лабораторном, сопроводительном или даже экономическом уровнях».</w:t>
            </w:r>
          </w:p>
          <w:p w14:paraId="698928E7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Замечание.</w:t>
            </w:r>
            <w:r w:rsidRPr="0075628C">
              <w:rPr>
                <w:sz w:val="24"/>
                <w:szCs w:val="24"/>
              </w:rPr>
              <w:t xml:space="preserve"> Это очень смелый и интересный тезис. Но он методологически опасен. Если открытие сделал лаборант, значит ли это, что административный и научно-технологический уровни неэффективны? Или это говорит о таланте лаборанта?</w:t>
            </w:r>
          </w:p>
          <w:p w14:paraId="50D6DF9A" w14:textId="2340812D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Рекомендация.</w:t>
            </w:r>
            <w:r w:rsidRPr="0075628C">
              <w:rPr>
                <w:sz w:val="24"/>
                <w:szCs w:val="24"/>
              </w:rPr>
              <w:t xml:space="preserve"> Этот пункт выглядит как приложение, а не как этап анализа. Лучше вынести его в отдельный подраздел «Анализ нештатных ситуаций» или вовсе в </w:t>
            </w:r>
            <w:r w:rsidRPr="0075628C">
              <w:rPr>
                <w:sz w:val="24"/>
                <w:szCs w:val="24"/>
              </w:rPr>
              <w:lastRenderedPageBreak/>
              <w:t>раздел «Обсуждение». Как критерий оценки он крайне субъективен (открытия случайны по определению).</w:t>
            </w:r>
          </w:p>
        </w:tc>
        <w:tc>
          <w:tcPr>
            <w:tcW w:w="3820" w:type="dxa"/>
          </w:tcPr>
          <w:p w14:paraId="5E4CF607" w14:textId="3BC5A429" w:rsidR="00831332" w:rsidRPr="00E652C6" w:rsidRDefault="00DA3006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lastRenderedPageBreak/>
              <w:t>Убрал этот пункт.</w:t>
            </w:r>
          </w:p>
        </w:tc>
      </w:tr>
      <w:tr w:rsidR="00831332" w:rsidRPr="0075628C" w14:paraId="2FCE337F" w14:textId="77777777" w:rsidTr="00492E6B">
        <w:tc>
          <w:tcPr>
            <w:tcW w:w="6238" w:type="dxa"/>
          </w:tcPr>
          <w:p w14:paraId="3BAAC2C4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16. Экономическая метафора «деньги = овеществленное время».</w:t>
            </w:r>
          </w:p>
          <w:p w14:paraId="20FEBC1C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Тезис сильный и правильный (отсылает к трудовой теории стоимости), но он требует либо сноски, либо более мягкой формулировки. В современной экономике деньги – это не только «овеществленное время», но и результат ренты, спекуляций и т.д. Прямое уравнение может вызвать критику со стороны экономистов.</w:t>
            </w:r>
          </w:p>
          <w:p w14:paraId="7F1699A5" w14:textId="1C2A3B5A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Рекомендация.</w:t>
            </w:r>
            <w:r w:rsidRPr="0075628C">
              <w:rPr>
                <w:sz w:val="24"/>
                <w:szCs w:val="24"/>
              </w:rPr>
              <w:t xml:space="preserve"> Смягчить формулировку: «Если рассматривать государственное финансирование как форму выделения научной организации совокупного рабочего времени ее сотрудников (овеществленного в зарплате и оборудовании), то...» Это снимает излишнюю </w:t>
            </w:r>
            <w:proofErr w:type="spellStart"/>
            <w:r w:rsidRPr="0075628C">
              <w:rPr>
                <w:sz w:val="24"/>
                <w:szCs w:val="24"/>
              </w:rPr>
              <w:t>пафосность</w:t>
            </w:r>
            <w:proofErr w:type="spellEnd"/>
            <w:r w:rsidRPr="0075628C">
              <w:rPr>
                <w:sz w:val="24"/>
                <w:szCs w:val="24"/>
              </w:rPr>
              <w:t xml:space="preserve"> и делает тезис более научным.</w:t>
            </w:r>
          </w:p>
        </w:tc>
        <w:tc>
          <w:tcPr>
            <w:tcW w:w="3820" w:type="dxa"/>
          </w:tcPr>
          <w:p w14:paraId="21114D46" w14:textId="30336D8E" w:rsidR="00831332" w:rsidRPr="00E652C6" w:rsidRDefault="00D731E0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Согласен, слишком пафосно получилось. Переформулировал. </w:t>
            </w:r>
          </w:p>
        </w:tc>
      </w:tr>
      <w:tr w:rsidR="00831332" w:rsidRPr="0075628C" w14:paraId="2D0643E2" w14:textId="77777777" w:rsidTr="00492E6B">
        <w:tc>
          <w:tcPr>
            <w:tcW w:w="6238" w:type="dxa"/>
          </w:tcPr>
          <w:p w14:paraId="53A3581B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 xml:space="preserve">17. Индикатор 1: «Гибкость административной системы» (интервал </w:t>
            </w:r>
            <w:proofErr w:type="spellStart"/>
            <w:r w:rsidRPr="0075628C">
              <w:rPr>
                <w:sz w:val="24"/>
                <w:szCs w:val="24"/>
              </w:rPr>
              <w:t>t</w:t>
            </w:r>
            <w:r w:rsidRPr="0075628C">
              <w:rPr>
                <w:sz w:val="24"/>
                <w:szCs w:val="24"/>
                <w:vertAlign w:val="subscript"/>
              </w:rPr>
              <w:t>1</w:t>
            </w:r>
            <w:r w:rsidRPr="0075628C">
              <w:rPr>
                <w:sz w:val="24"/>
                <w:szCs w:val="24"/>
              </w:rPr>
              <w:t>t</w:t>
            </w:r>
            <w:r w:rsidRPr="0075628C">
              <w:rPr>
                <w:sz w:val="24"/>
                <w:szCs w:val="24"/>
                <w:vertAlign w:val="subscript"/>
              </w:rPr>
              <w:t>2</w:t>
            </w:r>
            <w:proofErr w:type="spellEnd"/>
            <w:r w:rsidRPr="0075628C">
              <w:rPr>
                <w:sz w:val="24"/>
                <w:szCs w:val="24"/>
              </w:rPr>
              <w:t>)</w:t>
            </w:r>
          </w:p>
          <w:p w14:paraId="3C77D39C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 xml:space="preserve">. Это блестящий показатель. Однако в тексте не хватает пояснения, как его измерять на практике. Что считать началом работы лабораторий? Подписание приказа? Первый вход в журнал наблюдений? Закупку реактивов? Без </w:t>
            </w:r>
            <w:proofErr w:type="spellStart"/>
            <w:r w:rsidRPr="0075628C">
              <w:rPr>
                <w:sz w:val="24"/>
                <w:szCs w:val="24"/>
              </w:rPr>
              <w:t>операционализации</w:t>
            </w:r>
            <w:proofErr w:type="spellEnd"/>
            <w:r w:rsidRPr="0075628C">
              <w:rPr>
                <w:sz w:val="24"/>
                <w:szCs w:val="24"/>
              </w:rPr>
              <w:t xml:space="preserve"> показатель остается красивой идеей.</w:t>
            </w:r>
          </w:p>
          <w:p w14:paraId="4BB14702" w14:textId="678E44AB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>. Добавить 1-2 предложения о способах фиксации этого интервала (например, по датам в электронной системе документооборота или по актам списания материалов).</w:t>
            </w:r>
          </w:p>
        </w:tc>
        <w:tc>
          <w:tcPr>
            <w:tcW w:w="3820" w:type="dxa"/>
          </w:tcPr>
          <w:p w14:paraId="6AFDFE00" w14:textId="0E742C5B" w:rsidR="00831332" w:rsidRPr="00E652C6" w:rsidRDefault="00D731E0" w:rsidP="0096119D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Спасибо за это замечание. </w:t>
            </w:r>
            <w:r w:rsidR="0096119D" w:rsidRPr="00E652C6">
              <w:rPr>
                <w:color w:val="002060"/>
                <w:sz w:val="24"/>
                <w:szCs w:val="24"/>
              </w:rPr>
              <w:t xml:space="preserve">Об этом надо подумать. </w:t>
            </w:r>
          </w:p>
        </w:tc>
      </w:tr>
      <w:tr w:rsidR="00831332" w:rsidRPr="0075628C" w14:paraId="0086F111" w14:textId="77777777" w:rsidTr="00492E6B">
        <w:tc>
          <w:tcPr>
            <w:tcW w:w="6238" w:type="dxa"/>
          </w:tcPr>
          <w:p w14:paraId="440CDC28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18. Математическая модель (пункт 3) – самый сильный и самый уязвимый раздел</w:t>
            </w:r>
          </w:p>
          <w:p w14:paraId="3C66BBFB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 xml:space="preserve">Автор предлагает формулу: </w:t>
            </w:r>
            <w:proofErr w:type="spellStart"/>
            <w:r w:rsidRPr="0075628C">
              <w:rPr>
                <w:sz w:val="24"/>
                <w:szCs w:val="24"/>
              </w:rPr>
              <w:t>lmin</w:t>
            </w:r>
            <w:proofErr w:type="spellEnd"/>
            <w:r w:rsidRPr="0075628C">
              <w:rPr>
                <w:sz w:val="24"/>
                <w:szCs w:val="24"/>
              </w:rPr>
              <w:t xml:space="preserve"> = (</w:t>
            </w:r>
            <w:proofErr w:type="spellStart"/>
            <w:r w:rsidRPr="0075628C">
              <w:rPr>
                <w:sz w:val="24"/>
                <w:szCs w:val="24"/>
              </w:rPr>
              <w:t>2N</w:t>
            </w:r>
            <w:proofErr w:type="spellEnd"/>
            <w:r w:rsidRPr="0075628C">
              <w:rPr>
                <w:sz w:val="24"/>
                <w:szCs w:val="24"/>
              </w:rPr>
              <w:t xml:space="preserve"> — α)/m</w:t>
            </w:r>
          </w:p>
          <w:p w14:paraId="4C4650AB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Это попытка создать универсальный закон научного труда. Это похвально, но здесь есть несколько логических и математических неточностей.</w:t>
            </w:r>
          </w:p>
          <w:p w14:paraId="40918AB6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Проблема с определением N (длительность цикла объекта).</w:t>
            </w:r>
          </w:p>
          <w:p w14:paraId="2A8332BF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Замечание.</w:t>
            </w:r>
            <w:r w:rsidRPr="0075628C">
              <w:rPr>
                <w:sz w:val="24"/>
                <w:szCs w:val="24"/>
              </w:rPr>
              <w:t xml:space="preserve"> Что такое «цикл объекта» для неживых систем? Для звезды (цикл — миллиарды лет) или для социального явления (цикл Кондратьева – 50…60 лет) это понятие условно. Формула предполагает, что у объекта есть четкая периодичность, как у дрозофилы. Для большинства объектов исследования (исторических, космологических, геологических) это не так.</w:t>
            </w:r>
          </w:p>
          <w:p w14:paraId="79FFF8C2" w14:textId="71B05439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>. Ввести ограничение: «Данная формула применима для объектов с наблюдаемой и повторяющейся цикличностью (биологические, технические, сезонные природные процессы)».</w:t>
            </w:r>
          </w:p>
        </w:tc>
        <w:tc>
          <w:tcPr>
            <w:tcW w:w="3820" w:type="dxa"/>
          </w:tcPr>
          <w:p w14:paraId="6BF71253" w14:textId="42D9BBEF" w:rsidR="00831332" w:rsidRPr="00E652C6" w:rsidRDefault="00ED5CB6" w:rsidP="00ED5CB6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Правильное замечание. Дополнил. </w:t>
            </w:r>
          </w:p>
        </w:tc>
      </w:tr>
      <w:tr w:rsidR="00831332" w:rsidRPr="0075628C" w14:paraId="31C0BE8C" w14:textId="77777777" w:rsidTr="00492E6B">
        <w:tc>
          <w:tcPr>
            <w:tcW w:w="6238" w:type="dxa"/>
          </w:tcPr>
          <w:p w14:paraId="42199F7C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lastRenderedPageBreak/>
              <w:t>Проблема с α (часть цикла, прогнозируемая моделью).</w:t>
            </w:r>
          </w:p>
          <w:p w14:paraId="6C082E49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Замечание: α – это величина, которую получаем до исследования (априори) или после (апостериори)? Если еще не изучили объект, не можем знать, какую часть его цикла сможем достоверно промоделировать. Возникает логический круг.</w:t>
            </w:r>
          </w:p>
          <w:p w14:paraId="5F1029D1" w14:textId="7D1F430A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>. Уточнить, что α – это целевой параметр, который организация стремится достичь, или что α выводится из предыдущих исследований (накопленного опыта).</w:t>
            </w:r>
          </w:p>
        </w:tc>
        <w:tc>
          <w:tcPr>
            <w:tcW w:w="3820" w:type="dxa"/>
          </w:tcPr>
          <w:p w14:paraId="0A21121E" w14:textId="4322C927" w:rsidR="00831332" w:rsidRPr="00E652C6" w:rsidRDefault="00ED5CB6" w:rsidP="00ED5CB6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Ценное замечание. Спасибо!</w:t>
            </w:r>
          </w:p>
        </w:tc>
      </w:tr>
      <w:tr w:rsidR="00831332" w:rsidRPr="0075628C" w14:paraId="13F66E2B" w14:textId="77777777" w:rsidTr="00492E6B">
        <w:tc>
          <w:tcPr>
            <w:tcW w:w="6238" w:type="dxa"/>
          </w:tcPr>
          <w:p w14:paraId="7DFFB7A4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Проблема с тождеством (N — ∑n — α) = 0.</w:t>
            </w:r>
          </w:p>
          <w:p w14:paraId="04E0FF5C" w14:textId="51C54FA2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Замечание.</w:t>
            </w:r>
            <w:r w:rsidRPr="0075628C">
              <w:rPr>
                <w:sz w:val="24"/>
                <w:szCs w:val="24"/>
              </w:rPr>
              <w:t xml:space="preserve"> Это уравнение идеального знания (мы закрыли все пробелы в цикле либо наблюдениями, либо моделью). Однако в реальности всегда остается "белое пятно". Абсолютное равенство нулю недостижимо.</w:t>
            </w:r>
          </w:p>
        </w:tc>
        <w:tc>
          <w:tcPr>
            <w:tcW w:w="3820" w:type="dxa"/>
          </w:tcPr>
          <w:p w14:paraId="70A3A4E5" w14:textId="2870D8B7" w:rsidR="00B01DA5" w:rsidRPr="00E652C6" w:rsidRDefault="00B01DA5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Да, </w:t>
            </w:r>
            <w:r w:rsidR="003857A5" w:rsidRPr="00E652C6">
              <w:rPr>
                <w:color w:val="002060"/>
                <w:sz w:val="24"/>
                <w:szCs w:val="24"/>
              </w:rPr>
              <w:t>Вы правы</w:t>
            </w:r>
            <w:r w:rsidRPr="00E652C6">
              <w:rPr>
                <w:color w:val="002060"/>
                <w:sz w:val="24"/>
                <w:szCs w:val="24"/>
              </w:rPr>
              <w:t>. Предлагаю смягченный вариант:</w:t>
            </w:r>
          </w:p>
          <w:p w14:paraId="46B11EC6" w14:textId="30DB85AA" w:rsidR="00831332" w:rsidRPr="00E652C6" w:rsidRDefault="00B01DA5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(N — ∑n — α) </w:t>
            </w:r>
            <w:r w:rsidRPr="00E652C6">
              <w:rPr>
                <w:b/>
                <w:color w:val="002060"/>
                <w:sz w:val="24"/>
                <w:szCs w:val="24"/>
              </w:rPr>
              <w:t>→</w:t>
            </w:r>
            <w:r w:rsidRPr="00E652C6">
              <w:rPr>
                <w:color w:val="002060"/>
                <w:sz w:val="24"/>
                <w:szCs w:val="24"/>
              </w:rPr>
              <w:t xml:space="preserve"> 0</w:t>
            </w:r>
          </w:p>
        </w:tc>
      </w:tr>
      <w:tr w:rsidR="00831332" w:rsidRPr="0075628C" w14:paraId="4E61C2E4" w14:textId="77777777" w:rsidTr="00492E6B">
        <w:tc>
          <w:tcPr>
            <w:tcW w:w="6238" w:type="dxa"/>
          </w:tcPr>
          <w:p w14:paraId="66405D10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Размерность n и N. В формуле «N = ∑n» под n понимаются «восьмичасовые циклы сотрудника».</w:t>
            </w:r>
          </w:p>
          <w:p w14:paraId="4E3F1EAE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Это сильное упрощение. Творческий процесс не сводится к сумме 8-часовых рабочих дней. Ученый может понять суть явления вне рабочего места, а не за рабочим столом.</w:t>
            </w:r>
          </w:p>
          <w:p w14:paraId="127F92C2" w14:textId="5B73FA79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 xml:space="preserve">. Добавить примечание: «Данная модель рассматривает только формальную (наблюдательную) сторону труда, оставляя за скобками когнитивные и </w:t>
            </w:r>
            <w:proofErr w:type="spellStart"/>
            <w:r w:rsidRPr="0075628C">
              <w:rPr>
                <w:sz w:val="24"/>
                <w:szCs w:val="24"/>
              </w:rPr>
              <w:t>инсайтные</w:t>
            </w:r>
            <w:proofErr w:type="spellEnd"/>
            <w:r w:rsidRPr="0075628C">
              <w:rPr>
                <w:sz w:val="24"/>
                <w:szCs w:val="24"/>
              </w:rPr>
              <w:t xml:space="preserve"> компоненты».</w:t>
            </w:r>
          </w:p>
        </w:tc>
        <w:tc>
          <w:tcPr>
            <w:tcW w:w="3820" w:type="dxa"/>
          </w:tcPr>
          <w:p w14:paraId="432DC816" w14:textId="0C5B370F" w:rsidR="00831332" w:rsidRPr="00E652C6" w:rsidRDefault="00B01DA5" w:rsidP="00831332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 xml:space="preserve">В данном случае я имел </w:t>
            </w:r>
            <w:proofErr w:type="gramStart"/>
            <w:r w:rsidRPr="00E652C6">
              <w:rPr>
                <w:color w:val="002060"/>
                <w:sz w:val="24"/>
                <w:szCs w:val="24"/>
              </w:rPr>
              <w:t>ввиду работу</w:t>
            </w:r>
            <w:proofErr w:type="gramEnd"/>
            <w:r w:rsidRPr="00E652C6">
              <w:rPr>
                <w:color w:val="002060"/>
                <w:sz w:val="24"/>
                <w:szCs w:val="24"/>
              </w:rPr>
              <w:t xml:space="preserve"> на лабораторном уровне</w:t>
            </w:r>
            <w:r w:rsidR="00AF3595" w:rsidRPr="00E652C6">
              <w:rPr>
                <w:color w:val="002060"/>
                <w:sz w:val="24"/>
                <w:szCs w:val="24"/>
              </w:rPr>
              <w:t xml:space="preserve">, выполняемую младшим научным персоналом и в значительной степени механически. </w:t>
            </w:r>
          </w:p>
        </w:tc>
      </w:tr>
      <w:tr w:rsidR="00831332" w:rsidRPr="0075628C" w14:paraId="5C1A4A25" w14:textId="77777777" w:rsidTr="00492E6B">
        <w:tc>
          <w:tcPr>
            <w:tcW w:w="6238" w:type="dxa"/>
          </w:tcPr>
          <w:p w14:paraId="0D41B4EF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19. В разделе «Обсуждение» приведено смелое утверждение: «Представители государства не в состоянии сформулировать цели, определить горизонт планирования».</w:t>
            </w:r>
          </w:p>
          <w:p w14:paraId="2CC6FE55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Это очень сильное утверждение. Оно может быть воспринято как политическая критика, а не научный анализ. Даже если это правда, в академической статье такие обвинения должны быть подкреплены ссылками или смягчены.</w:t>
            </w:r>
          </w:p>
          <w:p w14:paraId="3E3A518D" w14:textId="78A708B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Рекомендация.</w:t>
            </w:r>
            <w:r w:rsidRPr="0075628C">
              <w:rPr>
                <w:sz w:val="24"/>
                <w:szCs w:val="24"/>
              </w:rPr>
              <w:t xml:space="preserve"> Переформулировать в безличный пассив: «...либо цели сформулированы недостаточно четко, что не позволяет определить горизонт планирования». Это сохраняет смысл, но убирает обвинительный уклон.</w:t>
            </w:r>
          </w:p>
        </w:tc>
        <w:tc>
          <w:tcPr>
            <w:tcW w:w="3820" w:type="dxa"/>
          </w:tcPr>
          <w:p w14:paraId="5E57746C" w14:textId="496E333C" w:rsidR="00831332" w:rsidRPr="00E652C6" w:rsidRDefault="00026DBE" w:rsidP="00026DBE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t>Учёл и переписал.</w:t>
            </w:r>
          </w:p>
        </w:tc>
      </w:tr>
      <w:tr w:rsidR="00831332" w:rsidRPr="0075628C" w14:paraId="72898698" w14:textId="77777777" w:rsidTr="00492E6B">
        <w:tc>
          <w:tcPr>
            <w:tcW w:w="6238" w:type="dxa"/>
          </w:tcPr>
          <w:p w14:paraId="6771914B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sz w:val="24"/>
                <w:szCs w:val="24"/>
              </w:rPr>
              <w:t>20. Проблема дублирования. Последний абзац Заключения почти дословно повторяет Аннотацию и конец Введения.</w:t>
            </w:r>
          </w:p>
          <w:p w14:paraId="0ADFE01D" w14:textId="77777777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Замечание</w:t>
            </w:r>
            <w:r w:rsidRPr="0075628C">
              <w:rPr>
                <w:sz w:val="24"/>
                <w:szCs w:val="24"/>
              </w:rPr>
              <w:t>. Заключение должно содержать новые выводы, полученные в ходе исследования, а не просто пересказ того, что было обещано в начале.</w:t>
            </w:r>
          </w:p>
          <w:p w14:paraId="07EDEB29" w14:textId="555C6BDD" w:rsidR="00831332" w:rsidRPr="0075628C" w:rsidRDefault="00831332" w:rsidP="008313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75628C">
              <w:rPr>
                <w:b/>
                <w:sz w:val="24"/>
                <w:szCs w:val="24"/>
              </w:rPr>
              <w:t>Рекомендация</w:t>
            </w:r>
            <w:r w:rsidRPr="0075628C">
              <w:rPr>
                <w:sz w:val="24"/>
                <w:szCs w:val="24"/>
              </w:rPr>
              <w:t xml:space="preserve">. Усилить итоговый абзац конкретикой. Вместо «способности опережать потребности» написать: «Предложенный показатель гибкости (интервал </w:t>
            </w:r>
            <w:proofErr w:type="spellStart"/>
            <w:r w:rsidRPr="0075628C">
              <w:rPr>
                <w:sz w:val="24"/>
                <w:szCs w:val="24"/>
              </w:rPr>
              <w:t>t</w:t>
            </w:r>
            <w:r w:rsidRPr="0075628C">
              <w:rPr>
                <w:sz w:val="24"/>
                <w:szCs w:val="24"/>
                <w:vertAlign w:val="subscript"/>
              </w:rPr>
              <w:t>1</w:t>
            </w:r>
            <w:r w:rsidRPr="0075628C">
              <w:rPr>
                <w:sz w:val="24"/>
                <w:szCs w:val="24"/>
              </w:rPr>
              <w:t>t</w:t>
            </w:r>
            <w:r w:rsidRPr="0075628C">
              <w:rPr>
                <w:sz w:val="24"/>
                <w:szCs w:val="24"/>
                <w:vertAlign w:val="subscript"/>
              </w:rPr>
              <w:t>2</w:t>
            </w:r>
            <w:proofErr w:type="spellEnd"/>
            <w:r w:rsidRPr="0075628C">
              <w:rPr>
                <w:sz w:val="24"/>
                <w:szCs w:val="24"/>
              </w:rPr>
              <w:t xml:space="preserve">) позволяет количественно оценить эту способность». </w:t>
            </w:r>
            <w:r w:rsidRPr="0075628C">
              <w:rPr>
                <w:sz w:val="24"/>
                <w:szCs w:val="24"/>
              </w:rPr>
              <w:lastRenderedPageBreak/>
              <w:t>Вместо «программировать будущие открытия» написать: «Анализ доли функциональных уровней в структуре персонала выявляет "точки роста" и зоны неопределенности, что создает организационные предпосылки для новых открытий».</w:t>
            </w:r>
          </w:p>
        </w:tc>
        <w:tc>
          <w:tcPr>
            <w:tcW w:w="3820" w:type="dxa"/>
          </w:tcPr>
          <w:p w14:paraId="4D6338DE" w14:textId="4356996B" w:rsidR="00831332" w:rsidRPr="00E652C6" w:rsidRDefault="00026DBE" w:rsidP="00026DBE">
            <w:pPr>
              <w:spacing w:line="276" w:lineRule="auto"/>
              <w:jc w:val="both"/>
              <w:rPr>
                <w:color w:val="002060"/>
                <w:sz w:val="24"/>
                <w:szCs w:val="24"/>
              </w:rPr>
            </w:pPr>
            <w:r w:rsidRPr="00E652C6">
              <w:rPr>
                <w:color w:val="002060"/>
                <w:sz w:val="24"/>
                <w:szCs w:val="24"/>
              </w:rPr>
              <w:lastRenderedPageBreak/>
              <w:t xml:space="preserve">Абзац переписал. </w:t>
            </w:r>
          </w:p>
        </w:tc>
      </w:tr>
    </w:tbl>
    <w:p w14:paraId="77B40FB1" w14:textId="70117FF3" w:rsidR="00817F88" w:rsidRDefault="00817F88" w:rsidP="00817F88">
      <w:pPr>
        <w:spacing w:line="276" w:lineRule="auto"/>
        <w:jc w:val="both"/>
        <w:rPr>
          <w:sz w:val="26"/>
          <w:szCs w:val="26"/>
        </w:rPr>
      </w:pPr>
    </w:p>
    <w:p w14:paraId="1D0394E7" w14:textId="7EE01462" w:rsidR="006D06E3" w:rsidRPr="00DD5FE2" w:rsidRDefault="00DD5FE2" w:rsidP="00817F88">
      <w:pPr>
        <w:spacing w:line="276" w:lineRule="auto"/>
        <w:jc w:val="both"/>
        <w:rPr>
          <w:sz w:val="28"/>
          <w:szCs w:val="28"/>
        </w:rPr>
      </w:pPr>
      <w:r w:rsidRPr="00DD5FE2">
        <w:rPr>
          <w:sz w:val="28"/>
          <w:szCs w:val="28"/>
        </w:rPr>
        <w:t>Еще раз благодарю Вас за время и труд</w:t>
      </w:r>
      <w:r>
        <w:rPr>
          <w:sz w:val="28"/>
          <w:szCs w:val="28"/>
        </w:rPr>
        <w:t>!</w:t>
      </w:r>
    </w:p>
    <w:p w14:paraId="0C50EEAC" w14:textId="77777777" w:rsidR="0052379D" w:rsidRPr="00833A89" w:rsidRDefault="0052379D">
      <w:pPr>
        <w:spacing w:line="276" w:lineRule="auto"/>
        <w:ind w:left="-284"/>
        <w:jc w:val="both"/>
        <w:rPr>
          <w:sz w:val="24"/>
          <w:szCs w:val="24"/>
        </w:rPr>
      </w:pPr>
    </w:p>
    <w:p w14:paraId="6F18A7EE" w14:textId="77777777" w:rsidR="0052379D" w:rsidRPr="00833A89" w:rsidRDefault="0052379D">
      <w:pPr>
        <w:ind w:left="-284"/>
        <w:jc w:val="both"/>
        <w:rPr>
          <w:bCs/>
          <w:sz w:val="26"/>
          <w:szCs w:val="26"/>
        </w:rPr>
      </w:pPr>
    </w:p>
    <w:sectPr w:rsidR="0052379D" w:rsidRPr="00833A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1" w:bottom="993" w:left="1418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12126" w14:textId="77777777" w:rsidR="00F132C1" w:rsidRDefault="00F132C1">
      <w:r>
        <w:separator/>
      </w:r>
    </w:p>
  </w:endnote>
  <w:endnote w:type="continuationSeparator" w:id="0">
    <w:p w14:paraId="55007641" w14:textId="77777777" w:rsidR="00F132C1" w:rsidRDefault="00F1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AB044" w14:textId="77777777" w:rsidR="007B1CC9" w:rsidRDefault="007B1CC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52872" w14:textId="77777777" w:rsidR="007B1CC9" w:rsidRDefault="007B1CC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D2668" w14:textId="77777777" w:rsidR="007B1CC9" w:rsidRDefault="007B1CC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45658" w14:textId="77777777" w:rsidR="00F132C1" w:rsidRDefault="00F132C1">
      <w:r>
        <w:separator/>
      </w:r>
    </w:p>
  </w:footnote>
  <w:footnote w:type="continuationSeparator" w:id="0">
    <w:p w14:paraId="721BB383" w14:textId="77777777" w:rsidR="00F132C1" w:rsidRDefault="00F13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933AB" w14:textId="77777777" w:rsidR="007B1CC9" w:rsidRDefault="007B1CC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47848" w14:textId="77777777" w:rsidR="007B1CC9" w:rsidRDefault="007B1CC9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A3314" w14:textId="77777777" w:rsidR="007B1CC9" w:rsidRDefault="007B1CC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711A3"/>
    <w:multiLevelType w:val="hybridMultilevel"/>
    <w:tmpl w:val="AF0849FE"/>
    <w:lvl w:ilvl="0" w:tplc="F7FC2F52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31CB7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07833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36CDE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8FAB6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A10E0D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26EFF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658A4B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46C969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F35979"/>
    <w:multiLevelType w:val="hybridMultilevel"/>
    <w:tmpl w:val="600AD54E"/>
    <w:lvl w:ilvl="0" w:tplc="A63CD2F0">
      <w:start w:val="1"/>
      <w:numFmt w:val="decimal"/>
      <w:lvlText w:val="%1)"/>
      <w:lvlJc w:val="left"/>
      <w:pPr>
        <w:tabs>
          <w:tab w:val="num" w:pos="166"/>
        </w:tabs>
        <w:ind w:left="166" w:hanging="450"/>
      </w:pPr>
    </w:lvl>
    <w:lvl w:ilvl="1" w:tplc="D264F4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B00B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0A5F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D564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7CF3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BA4A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09AE7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F404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DC977ED"/>
    <w:multiLevelType w:val="hybridMultilevel"/>
    <w:tmpl w:val="123E1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D4E55"/>
    <w:multiLevelType w:val="hybridMultilevel"/>
    <w:tmpl w:val="B1B4D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79D"/>
    <w:rsid w:val="0002366F"/>
    <w:rsid w:val="00026DBE"/>
    <w:rsid w:val="000F3D0D"/>
    <w:rsid w:val="00100703"/>
    <w:rsid w:val="001E30EA"/>
    <w:rsid w:val="002074AE"/>
    <w:rsid w:val="002A4A85"/>
    <w:rsid w:val="003857A5"/>
    <w:rsid w:val="0040664E"/>
    <w:rsid w:val="00426734"/>
    <w:rsid w:val="0043351A"/>
    <w:rsid w:val="00492E6B"/>
    <w:rsid w:val="004930EC"/>
    <w:rsid w:val="0052379D"/>
    <w:rsid w:val="00581BCD"/>
    <w:rsid w:val="00591D06"/>
    <w:rsid w:val="005A4F6F"/>
    <w:rsid w:val="00693FED"/>
    <w:rsid w:val="006B0275"/>
    <w:rsid w:val="006B7924"/>
    <w:rsid w:val="006D06E3"/>
    <w:rsid w:val="006F2F79"/>
    <w:rsid w:val="00755D41"/>
    <w:rsid w:val="0075628C"/>
    <w:rsid w:val="00782443"/>
    <w:rsid w:val="00792C7B"/>
    <w:rsid w:val="007B1CC9"/>
    <w:rsid w:val="007C1EDD"/>
    <w:rsid w:val="007E52F5"/>
    <w:rsid w:val="00817F88"/>
    <w:rsid w:val="00831332"/>
    <w:rsid w:val="00833A89"/>
    <w:rsid w:val="00860CCD"/>
    <w:rsid w:val="008A4006"/>
    <w:rsid w:val="008D13AE"/>
    <w:rsid w:val="009555A1"/>
    <w:rsid w:val="0096119D"/>
    <w:rsid w:val="009C7CC9"/>
    <w:rsid w:val="009D1B1E"/>
    <w:rsid w:val="00A02FE2"/>
    <w:rsid w:val="00A067DD"/>
    <w:rsid w:val="00A40169"/>
    <w:rsid w:val="00A450CB"/>
    <w:rsid w:val="00A97B20"/>
    <w:rsid w:val="00AE743A"/>
    <w:rsid w:val="00AF3595"/>
    <w:rsid w:val="00B01DA5"/>
    <w:rsid w:val="00B51443"/>
    <w:rsid w:val="00B938B5"/>
    <w:rsid w:val="00BB2ADF"/>
    <w:rsid w:val="00C41271"/>
    <w:rsid w:val="00C56E46"/>
    <w:rsid w:val="00CD2A65"/>
    <w:rsid w:val="00CD6DDA"/>
    <w:rsid w:val="00CF23BE"/>
    <w:rsid w:val="00D55092"/>
    <w:rsid w:val="00D731E0"/>
    <w:rsid w:val="00DA3006"/>
    <w:rsid w:val="00DA7E7E"/>
    <w:rsid w:val="00DD5FE2"/>
    <w:rsid w:val="00E01871"/>
    <w:rsid w:val="00E16C06"/>
    <w:rsid w:val="00E4592F"/>
    <w:rsid w:val="00E652C6"/>
    <w:rsid w:val="00E66054"/>
    <w:rsid w:val="00ED5CB6"/>
    <w:rsid w:val="00F132C1"/>
    <w:rsid w:val="00FA28A3"/>
    <w:rsid w:val="00FB00DF"/>
    <w:rsid w:val="00FB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31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1">
    <w:name w:val="Верхний колонтитул Знак1"/>
    <w:link w:val="ab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c"/>
    <w:uiPriority w:val="99"/>
  </w:style>
  <w:style w:type="table" w:styleId="ad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af7">
    <w:name w:val="Верхний колонтитул Знак"/>
    <w:basedOn w:val="a0"/>
    <w:qFormat/>
  </w:style>
  <w:style w:type="character" w:customStyle="1" w:styleId="af8">
    <w:name w:val="Нижний колонтитул Знак"/>
    <w:basedOn w:val="a0"/>
    <w:qFormat/>
  </w:style>
  <w:style w:type="character" w:styleId="af9">
    <w:name w:val="Emphasis"/>
    <w:qFormat/>
    <w:rPr>
      <w:i/>
      <w:i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fa"/>
    <w:qFormat/>
    <w:pPr>
      <w:jc w:val="center"/>
    </w:pPr>
    <w:rPr>
      <w:b/>
      <w:sz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d">
    <w:name w:val="Знак Знак Знак Знак Знак Знак Знак"/>
    <w:basedOn w:val="a"/>
    <w:qFormat/>
    <w:rPr>
      <w:rFonts w:ascii="Verdana" w:hAnsi="Verdana" w:cs="Verdana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1"/>
  </w:style>
  <w:style w:type="paragraph" w:styleId="ac">
    <w:name w:val="footer"/>
    <w:basedOn w:val="a"/>
    <w:link w:val="12"/>
  </w:style>
  <w:style w:type="paragraph" w:styleId="afe">
    <w:name w:val="Normal (Web)"/>
    <w:basedOn w:val="a"/>
    <w:qFormat/>
    <w:pPr>
      <w:spacing w:before="280" w:after="280"/>
    </w:pPr>
    <w:rPr>
      <w:rFonts w:eastAsia="ms mincho;ＭＳ 明朝"/>
      <w:sz w:val="24"/>
      <w:szCs w:val="24"/>
      <w:lang w:eastAsia="ja-JP" w:bidi="th-TH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3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2042</Words>
  <Characters>14644</Characters>
  <Application>Microsoft Office Word</Application>
  <DocSecurity>0</DocSecurity>
  <Lines>271</Lines>
  <Paragraphs>107</Paragraphs>
  <ScaleCrop>false</ScaleCrop>
  <Company/>
  <LinksUpToDate>false</LinksUpToDate>
  <CharactersWithSpaces>16579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2026-04-07T07:02:00Z</dcterms:created>
  <dcterms:modified xsi:type="dcterms:W3CDTF">2026-04-07T07:03:00Z</dcterms:modified>
  <dc:language/>
</cp:coreProperties>
</file>